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2"/>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2"/>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7"/>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7"/>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6"/>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2"/>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7"/>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w:t>
      </w:r>
      <w:r>
        <w:rPr>
          <w:rFonts w:hint="eastAsia" w:ascii="宋体" w:hAnsi="宋体" w:cs="仿宋_GB2312"/>
          <w:color w:val="auto"/>
          <w:sz w:val="24"/>
          <w:lang w:eastAsia="zh-CN"/>
        </w:rPr>
        <w:t>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2"/>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sz w:val="28"/>
          <w:szCs w:val="28"/>
        </w:rPr>
        <w:t>(3)</w:t>
      </w:r>
      <w:r>
        <w:rPr>
          <w:rFonts w:hint="eastAsia" w:ascii="宋体" w:hAnsi="宋体"/>
          <w:color w:val="auto"/>
          <w:sz w:val="28"/>
          <w:szCs w:val="28"/>
        </w:rPr>
        <w:t>供应商依法缴纳社会保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月至202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月内</w:t>
      </w:r>
      <w:r>
        <w:rPr>
          <w:rFonts w:hint="eastAsia" w:ascii="宋体" w:hAnsi="宋体"/>
          <w:sz w:val="28"/>
          <w:szCs w:val="28"/>
          <w:lang w:val="en-US" w:eastAsia="zh-CN"/>
        </w:rPr>
        <w:t>任意1</w:t>
      </w:r>
      <w:r>
        <w:rPr>
          <w:rFonts w:hint="eastAsia" w:ascii="宋体" w:hAnsi="宋体"/>
          <w:sz w:val="28"/>
          <w:szCs w:val="28"/>
        </w:rPr>
        <w:t>个月</w:t>
      </w:r>
      <w:r>
        <w:rPr>
          <w:rFonts w:hint="eastAsia" w:ascii="宋体" w:hAnsi="宋体"/>
          <w:color w:val="auto"/>
          <w:sz w:val="28"/>
          <w:szCs w:val="28"/>
        </w:rPr>
        <w:t>的依法缴纳社会保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r>
        <w:rPr>
          <w:rFonts w:hint="eastAsia" w:ascii="宋体" w:hAnsi="宋体"/>
          <w:color w:val="auto"/>
          <w:sz w:val="28"/>
          <w:szCs w:val="28"/>
          <w:lang w:eastAsia="zh-CN"/>
        </w:rPr>
        <w:t>（</w:t>
      </w:r>
      <w:r>
        <w:rPr>
          <w:rFonts w:hint="eastAsia" w:ascii="宋体" w:hAnsi="宋体"/>
          <w:color w:val="auto"/>
          <w:sz w:val="28"/>
          <w:szCs w:val="28"/>
          <w:lang w:val="en-US" w:eastAsia="zh-CN"/>
        </w:rPr>
        <w:t>包含职工基本养老保险、职工基本医疗保险、工伤保险、失业保险</w:t>
      </w:r>
      <w:r>
        <w:rPr>
          <w:rFonts w:hint="eastAsia" w:ascii="宋体" w:hAnsi="宋体"/>
          <w:color w:val="auto"/>
          <w:sz w:val="28"/>
          <w:szCs w:val="28"/>
          <w:lang w:eastAsia="zh-CN"/>
        </w:rPr>
        <w:t>）</w:t>
      </w:r>
      <w:r>
        <w:rPr>
          <w:rFonts w:hint="eastAsia" w:ascii="宋体" w:hAnsi="宋体"/>
          <w:color w:val="auto"/>
          <w:sz w:val="28"/>
          <w:szCs w:val="28"/>
        </w:rPr>
        <w:t>的缴费凭证（专用收据或者社会保险缴纳清单）复印件；依法不需要缴纳社会保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金的，必须提供相应文件证明不需要缴纳社会保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w:t>
      </w:r>
      <w:r>
        <w:rPr>
          <w:rFonts w:hint="eastAsia" w:ascii="宋体" w:hAnsi="宋体"/>
          <w:color w:val="auto"/>
          <w:sz w:val="28"/>
          <w:szCs w:val="28"/>
        </w:rPr>
        <w:t>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w:t>
      </w:r>
      <w:r>
        <w:rPr>
          <w:rFonts w:hint="eastAsia" w:ascii="宋体" w:hAnsi="宋体"/>
          <w:color w:val="auto"/>
          <w:sz w:val="28"/>
          <w:szCs w:val="28"/>
          <w:lang w:eastAsia="zh-CN"/>
        </w:rPr>
        <w:t>（或</w:t>
      </w:r>
      <w:r>
        <w:rPr>
          <w:rFonts w:hint="eastAsia" w:ascii="宋体" w:hAnsi="宋体"/>
          <w:color w:val="auto"/>
          <w:sz w:val="28"/>
          <w:szCs w:val="28"/>
          <w:lang w:val="en-US" w:eastAsia="zh-CN"/>
        </w:rPr>
        <w:t>2025年度</w:t>
      </w:r>
      <w:r>
        <w:rPr>
          <w:rFonts w:hint="eastAsia" w:ascii="宋体" w:hAnsi="宋体"/>
          <w:color w:val="auto"/>
          <w:sz w:val="28"/>
          <w:szCs w:val="28"/>
          <w:lang w:eastAsia="zh-CN"/>
        </w:rPr>
        <w:t>）</w:t>
      </w:r>
      <w:r>
        <w:rPr>
          <w:rFonts w:hint="eastAsia" w:ascii="宋体" w:hAnsi="宋体"/>
          <w:color w:val="auto"/>
          <w:sz w:val="28"/>
          <w:szCs w:val="28"/>
        </w:rPr>
        <w:t>的审计报告复印件</w:t>
      </w:r>
      <w:r>
        <w:rPr>
          <w:rFonts w:hint="eastAsia" w:ascii="宋体" w:hAnsi="宋体"/>
          <w:color w:val="auto"/>
          <w:sz w:val="28"/>
          <w:szCs w:val="28"/>
          <w:lang w:eastAsia="zh-CN"/>
        </w:rPr>
        <w:t>，</w:t>
      </w:r>
      <w:r>
        <w:rPr>
          <w:rFonts w:hint="eastAsia" w:ascii="宋体" w:hAnsi="宋体"/>
          <w:b/>
          <w:bCs/>
          <w:color w:val="auto"/>
          <w:sz w:val="28"/>
          <w:szCs w:val="28"/>
        </w:rPr>
        <w:t>或其开户银行出具的2025年1月以后的资信</w:t>
      </w:r>
      <w:r>
        <w:rPr>
          <w:rFonts w:hint="eastAsia" w:ascii="宋体" w:hAnsi="宋体"/>
          <w:b/>
          <w:bCs/>
          <w:sz w:val="28"/>
          <w:szCs w:val="28"/>
        </w:rPr>
        <w:t>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宋体" w:hAnsi="宋体" w:eastAsia="宋体" w:cs="宋体"/>
          <w:i w:val="0"/>
          <w:caps w:val="0"/>
          <w:color w:val="auto"/>
          <w:spacing w:val="0"/>
          <w:sz w:val="28"/>
          <w:szCs w:val="28"/>
          <w:highlight w:val="none"/>
          <w:shd w:val="clear" w:fill="FFFFFF"/>
          <w:lang w:eastAsia="zh-CN"/>
        </w:rPr>
      </w:pPr>
      <w:r>
        <w:rPr>
          <w:rFonts w:hint="eastAsia" w:ascii="宋体" w:hAnsi="宋体" w:eastAsia="宋体" w:cs="宋体"/>
          <w:i w:val="0"/>
          <w:caps w:val="0"/>
          <w:color w:val="auto"/>
          <w:spacing w:val="0"/>
          <w:sz w:val="28"/>
          <w:szCs w:val="28"/>
          <w:highlight w:val="none"/>
          <w:shd w:val="clear" w:fill="FFFFFF"/>
          <w:lang w:eastAsia="zh-CN"/>
        </w:rPr>
        <w:t>（</w:t>
      </w:r>
      <w:r>
        <w:rPr>
          <w:rFonts w:hint="eastAsia" w:ascii="宋体" w:hAnsi="宋体" w:eastAsia="宋体" w:cs="宋体"/>
          <w:i w:val="0"/>
          <w:caps w:val="0"/>
          <w:color w:val="auto"/>
          <w:spacing w:val="0"/>
          <w:sz w:val="28"/>
          <w:szCs w:val="28"/>
          <w:highlight w:val="none"/>
          <w:shd w:val="clear" w:fill="FFFFFF"/>
          <w:lang w:val="en-US" w:eastAsia="zh-CN"/>
        </w:rPr>
        <w:t>5</w:t>
      </w:r>
      <w:r>
        <w:rPr>
          <w:rFonts w:hint="eastAsia" w:ascii="宋体" w:hAnsi="宋体" w:eastAsia="宋体" w:cs="宋体"/>
          <w:i w:val="0"/>
          <w:caps w:val="0"/>
          <w:color w:val="auto"/>
          <w:spacing w:val="0"/>
          <w:sz w:val="28"/>
          <w:szCs w:val="28"/>
          <w:highlight w:val="none"/>
          <w:shd w:val="clear" w:fill="FFFFFF"/>
          <w:lang w:eastAsia="zh-CN"/>
        </w:rPr>
        <w:t>）</w:t>
      </w:r>
      <w:r>
        <w:rPr>
          <w:rFonts w:hint="eastAsia" w:ascii="宋体" w:hAnsi="宋体" w:eastAsia="宋体" w:cs="宋体"/>
          <w:i w:val="0"/>
          <w:caps w:val="0"/>
          <w:color w:val="auto"/>
          <w:spacing w:val="0"/>
          <w:sz w:val="28"/>
          <w:szCs w:val="28"/>
          <w:highlight w:val="none"/>
          <w:shd w:val="clear" w:color="auto" w:fill="FFFFFF"/>
        </w:rPr>
        <w:t>供应商持有有效律师事务所执业许可证，且通过司法行政部门的年度考核</w:t>
      </w:r>
      <w:r>
        <w:rPr>
          <w:rFonts w:hint="eastAsia" w:ascii="宋体" w:hAnsi="宋体" w:cs="宋体"/>
          <w:i w:val="0"/>
          <w:caps w:val="0"/>
          <w:color w:val="auto"/>
          <w:spacing w:val="0"/>
          <w:sz w:val="28"/>
          <w:szCs w:val="28"/>
          <w:highlight w:val="none"/>
          <w:shd w:val="clear" w:color="auto" w:fill="FFFFFF"/>
          <w:lang w:eastAsia="zh-CN"/>
        </w:rPr>
        <w:t>；</w:t>
      </w:r>
      <w:r>
        <w:rPr>
          <w:rFonts w:hint="eastAsia" w:ascii="宋体" w:hAnsi="宋体" w:cs="宋体"/>
          <w:color w:val="auto"/>
          <w:kern w:val="2"/>
          <w:sz w:val="28"/>
          <w:szCs w:val="28"/>
          <w:lang w:val="en-US" w:eastAsia="zh-CN" w:bidi="ar-SA"/>
        </w:rPr>
        <w:t>近3年内未受过司法行政部门行政处罚或律师协会的行业处分（通常需提供司法局盖章证明）</w:t>
      </w:r>
      <w:r>
        <w:rPr>
          <w:rFonts w:hint="eastAsia" w:ascii="宋体" w:hAnsi="宋体" w:eastAsia="宋体" w:cs="宋体"/>
          <w:i w:val="0"/>
          <w:caps w:val="0"/>
          <w:color w:val="auto"/>
          <w:spacing w:val="0"/>
          <w:sz w:val="28"/>
          <w:szCs w:val="28"/>
          <w:highlight w:val="none"/>
          <w:shd w:val="clear" w:color="auto" w:fill="FFFFFF"/>
          <w:lang w:val="en-US" w:eastAsia="zh-CN"/>
        </w:rPr>
        <w:t>的证明材料。</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highlight w:val="none"/>
        </w:rPr>
      </w:pPr>
    </w:p>
    <w:p>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p>
    <w:p>
      <w:pPr>
        <w:snapToGrid w:val="0"/>
        <w:spacing w:before="50" w:after="50" w:line="360" w:lineRule="auto"/>
        <w:rPr>
          <w:rFonts w:hint="eastAsia" w:ascii="宋体" w:hAnsi="宋体" w:cs="仿宋_GB2312"/>
          <w:color w:val="auto"/>
          <w:sz w:val="24"/>
          <w:highlight w:val="none"/>
          <w:u w:val="single"/>
        </w:rPr>
      </w:pPr>
    </w:p>
    <w:p>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pPr>
        <w:ind w:right="723"/>
        <w:jc w:val="right"/>
        <w:rPr>
          <w:color w:val="auto"/>
          <w:highlight w:val="none"/>
        </w:rPr>
      </w:pP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金额单位：人民币（元）</w:t>
      </w:r>
    </w:p>
    <w:tbl>
      <w:tblPr>
        <w:tblStyle w:val="12"/>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color w:val="auto"/>
                <w:szCs w:val="21"/>
                <w:highlight w:val="none"/>
              </w:rPr>
            </w:pPr>
            <w:r>
              <w:rPr>
                <w:rFonts w:hint="eastAsia" w:ascii="宋体" w:hAnsi="宋体" w:cs="仿宋_GB2312"/>
                <w:color w:val="auto"/>
                <w:sz w:val="24"/>
                <w:highlight w:val="none"/>
              </w:rPr>
              <w:t>项目</w:t>
            </w:r>
            <w:r>
              <w:rPr>
                <w:rFonts w:hint="eastAsia" w:ascii="宋体" w:hAnsi="宋体"/>
                <w:color w:val="auto"/>
                <w:szCs w:val="21"/>
                <w:highlight w:val="none"/>
              </w:rPr>
              <w:t>名称</w:t>
            </w:r>
          </w:p>
        </w:tc>
        <w:tc>
          <w:tcPr>
            <w:tcW w:w="7655" w:type="dxa"/>
            <w:noWrap w:val="0"/>
            <w:vAlign w:val="center"/>
          </w:tcPr>
          <w:p>
            <w:pPr>
              <w:tabs>
                <w:tab w:val="left" w:pos="504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报价（元）</w:t>
            </w:r>
          </w:p>
        </w:tc>
        <w:tc>
          <w:tcPr>
            <w:tcW w:w="7655" w:type="dxa"/>
            <w:noWrap w:val="0"/>
            <w:vAlign w:val="center"/>
          </w:tcPr>
          <w:p>
            <w:pPr>
              <w:tabs>
                <w:tab w:val="left" w:pos="5040"/>
              </w:tabs>
              <w:snapToGrid w:val="0"/>
              <w:ind w:firstLine="420" w:firstLineChars="200"/>
              <w:jc w:val="both"/>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color w:val="auto"/>
                <w:szCs w:val="21"/>
                <w:highlight w:val="none"/>
              </w:rPr>
            </w:pPr>
          </w:p>
          <w:p>
            <w:pPr>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服务期限</w:t>
            </w:r>
          </w:p>
        </w:tc>
        <w:tc>
          <w:tcPr>
            <w:tcW w:w="7655" w:type="dxa"/>
            <w:noWrap w:val="0"/>
            <w:vAlign w:val="center"/>
          </w:tcPr>
          <w:p>
            <w:pPr>
              <w:snapToGrid w:val="0"/>
              <w:spacing w:line="360" w:lineRule="auto"/>
              <w:rPr>
                <w:rFonts w:ascii="宋体" w:hAnsi="宋体"/>
                <w:color w:val="auto"/>
                <w:szCs w:val="21"/>
                <w:highlight w:val="none"/>
              </w:rPr>
            </w:pPr>
          </w:p>
        </w:tc>
      </w:tr>
    </w:tbl>
    <w:p>
      <w:pPr>
        <w:spacing w:line="480" w:lineRule="exact"/>
        <w:ind w:firstLine="3685" w:firstLineChars="1755"/>
        <w:rPr>
          <w:rFonts w:hint="eastAsia" w:cs="宋体"/>
          <w:color w:val="auto"/>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spacing w:line="440" w:lineRule="exact"/>
        <w:ind w:firstLine="484" w:firstLineChars="202"/>
        <w:jc w:val="left"/>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1. 以上报价</w:t>
      </w:r>
      <w:r>
        <w:rPr>
          <w:rFonts w:hint="eastAsia" w:ascii="宋体" w:hAnsi="宋体" w:eastAsia="宋体" w:cs="宋体"/>
          <w:color w:val="auto"/>
          <w:sz w:val="24"/>
          <w:highlight w:val="none"/>
          <w:lang w:eastAsia="zh-CN"/>
        </w:rPr>
        <w:t>包含</w:t>
      </w:r>
      <w:r>
        <w:rPr>
          <w:rFonts w:hint="eastAsia" w:ascii="宋体" w:hAnsi="宋体" w:eastAsia="宋体" w:cs="宋体"/>
          <w:color w:val="auto"/>
          <w:sz w:val="24"/>
          <w:highlight w:val="none"/>
        </w:rPr>
        <w:t>完成本项目全部内容所需费用的含税价（包括但不限于人工费、代理费、培训费、差旅费（涉及梧州市区、岑溪、苍梧和藤县）。</w:t>
      </w:r>
    </w:p>
    <w:p>
      <w:pPr>
        <w:spacing w:line="360" w:lineRule="auto"/>
        <w:ind w:firstLine="480" w:firstLineChars="200"/>
        <w:contextualSpacing/>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2.供应商的报价表必须加盖供应商签章并由法定代表人或者委托代理人签字或者</w:t>
      </w:r>
      <w:r>
        <w:rPr>
          <w:rFonts w:hint="eastAsia" w:ascii="宋体" w:hAnsi="宋体" w:eastAsia="宋体" w:cs="宋体"/>
          <w:b w:val="0"/>
          <w:bCs/>
          <w:color w:val="auto"/>
          <w:sz w:val="24"/>
          <w:highlight w:val="none"/>
          <w:lang w:eastAsia="zh-CN"/>
        </w:rPr>
        <w:t>公章</w:t>
      </w:r>
      <w:r>
        <w:rPr>
          <w:rFonts w:hint="eastAsia" w:ascii="宋体" w:hAnsi="宋体" w:eastAsia="宋体" w:cs="宋体"/>
          <w:b w:val="0"/>
          <w:bCs/>
          <w:color w:val="auto"/>
          <w:sz w:val="24"/>
          <w:highlight w:val="none"/>
        </w:rPr>
        <w:t>，否则其响应文件按无效处理。</w:t>
      </w:r>
    </w:p>
    <w:p>
      <w:pPr>
        <w:spacing w:line="360" w:lineRule="auto"/>
        <w:ind w:firstLine="480" w:firstLineChars="200"/>
        <w:contextualSpacing/>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auto"/>
          <w:highlight w:val="none"/>
        </w:rPr>
      </w:pPr>
    </w:p>
    <w:p>
      <w:pPr>
        <w:spacing w:line="480" w:lineRule="exact"/>
        <w:ind w:firstLine="3685" w:firstLineChars="1755"/>
        <w:rPr>
          <w:rFonts w:hint="eastAsia" w:cs="宋体"/>
          <w:color w:val="auto"/>
          <w:highlight w:val="none"/>
        </w:rPr>
      </w:pPr>
    </w:p>
    <w:p>
      <w:pPr>
        <w:spacing w:line="480" w:lineRule="exact"/>
        <w:ind w:firstLine="3685" w:firstLineChars="1755"/>
        <w:rPr>
          <w:rFonts w:hint="eastAsia" w:cs="宋体"/>
          <w:color w:val="auto"/>
          <w:highlight w:val="none"/>
        </w:rPr>
      </w:pPr>
    </w:p>
    <w:p>
      <w:pPr>
        <w:spacing w:line="480" w:lineRule="exact"/>
        <w:ind w:firstLine="2940" w:firstLineChars="1400"/>
        <w:rPr>
          <w:rFonts w:hint="eastAsia" w:cs="宋体"/>
          <w:color w:val="auto"/>
          <w:highlight w:val="none"/>
          <w:u w:val="single"/>
        </w:rPr>
      </w:pPr>
      <w:bookmarkStart w:id="1" w:name="OLE_LINK2"/>
      <w:r>
        <w:rPr>
          <w:rFonts w:hint="eastAsia" w:cs="宋体"/>
          <w:color w:val="auto"/>
          <w:highlight w:val="none"/>
        </w:rPr>
        <w:t>供应商名称（加盖单位公章）：</w:t>
      </w:r>
      <w:r>
        <w:rPr>
          <w:rFonts w:hint="eastAsia" w:cs="宋体"/>
          <w:color w:val="auto"/>
          <w:highlight w:val="none"/>
          <w:u w:val="single"/>
        </w:rPr>
        <w:t xml:space="preserve">                     </w:t>
      </w:r>
    </w:p>
    <w:p>
      <w:pPr>
        <w:spacing w:line="480" w:lineRule="exact"/>
        <w:ind w:firstLine="2940" w:firstLineChars="1400"/>
        <w:rPr>
          <w:rFonts w:hint="eastAsia"/>
          <w:color w:val="auto"/>
          <w:highlight w:val="none"/>
          <w:u w:val="single"/>
        </w:rPr>
      </w:pPr>
      <w:r>
        <w:rPr>
          <w:rFonts w:hint="eastAsia" w:cs="宋体"/>
          <w:color w:val="auto"/>
          <w:highlight w:val="none"/>
        </w:rPr>
        <w:t>法定代表人（或负责人）或委托代理人签名：</w:t>
      </w:r>
      <w:r>
        <w:rPr>
          <w:rFonts w:hint="eastAsia" w:cs="宋体"/>
          <w:color w:val="auto"/>
          <w:highlight w:val="none"/>
          <w:u w:val="single"/>
        </w:rPr>
        <w:t xml:space="preserve">                    </w:t>
      </w:r>
    </w:p>
    <w:p>
      <w:pPr>
        <w:spacing w:line="480" w:lineRule="exact"/>
        <w:ind w:firstLine="2940" w:firstLineChars="1400"/>
        <w:rPr>
          <w:rFonts w:hint="eastAsia"/>
          <w:color w:val="auto"/>
          <w:highlight w:val="none"/>
        </w:rPr>
      </w:pPr>
      <w:r>
        <w:rPr>
          <w:rFonts w:hint="eastAsia" w:cs="宋体"/>
          <w:color w:val="auto"/>
          <w:highlight w:val="none"/>
        </w:rPr>
        <w:t>日</w:t>
      </w:r>
      <w:r>
        <w:rPr>
          <w:rFonts w:hint="eastAsia" w:cs="宋体"/>
          <w:color w:val="auto"/>
          <w:highlight w:val="none"/>
          <w:lang w:val="en-US" w:eastAsia="zh-CN"/>
        </w:rPr>
        <w:t xml:space="preserve">      </w:t>
      </w:r>
      <w:r>
        <w:rPr>
          <w:rFonts w:hint="eastAsia" w:cs="宋体"/>
          <w:color w:val="auto"/>
          <w:highlight w:val="none"/>
        </w:rPr>
        <w:t>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s="宋体"/>
          <w:color w:val="auto"/>
          <w:highlight w:val="none"/>
        </w:rPr>
        <w:t>日</w:t>
      </w:r>
    </w:p>
    <w:bookmarkEnd w:id="1"/>
    <w:p>
      <w:pPr>
        <w:spacing w:line="360" w:lineRule="auto"/>
        <w:ind w:firstLine="420" w:firstLineChars="200"/>
        <w:contextualSpacing/>
        <w:jc w:val="left"/>
        <w:rPr>
          <w:color w:val="auto"/>
          <w:sz w:val="24"/>
          <w:szCs w:val="24"/>
          <w:highlight w:val="none"/>
        </w:rPr>
      </w:pPr>
      <w:r>
        <w:rPr>
          <w:rFonts w:hAnsi="宋体"/>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tbl>
      <w:tblPr>
        <w:tblStyle w:val="13"/>
        <w:tblpPr w:leftFromText="180" w:rightFromText="180" w:vertAnchor="text" w:tblpX="-322" w:tblpY="99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4546"/>
        <w:gridCol w:w="204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highlight w:val="none"/>
                <w:lang w:val="en-US" w:eastAsia="zh-CN"/>
              </w:rPr>
            </w:pPr>
          </w:p>
        </w:tc>
        <w:tc>
          <w:tcPr>
            <w:tcW w:w="45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b w:val="0"/>
                <w:bCs w:val="0"/>
                <w:color w:val="auto"/>
                <w:sz w:val="28"/>
                <w:szCs w:val="28"/>
                <w:highlight w:val="none"/>
                <w:vertAlign w:val="baseline"/>
              </w:rPr>
            </w:pPr>
            <w:r>
              <w:rPr>
                <w:rFonts w:hint="eastAsia" w:asciiTheme="majorEastAsia" w:hAnsiTheme="majorEastAsia" w:eastAsiaTheme="majorEastAsia" w:cstheme="majorEastAsia"/>
                <w:b w:val="0"/>
                <w:bCs w:val="0"/>
                <w:color w:val="auto"/>
                <w:sz w:val="28"/>
                <w:szCs w:val="28"/>
                <w:highlight w:val="none"/>
              </w:rPr>
              <w:t>▲</w:t>
            </w:r>
            <w:r>
              <w:rPr>
                <w:rFonts w:hint="eastAsia" w:asciiTheme="majorEastAsia" w:hAnsiTheme="majorEastAsia" w:eastAsiaTheme="majorEastAsia" w:cstheme="majorEastAsia"/>
                <w:b w:val="0"/>
                <w:bCs w:val="0"/>
                <w:color w:val="auto"/>
                <w:sz w:val="28"/>
                <w:szCs w:val="28"/>
                <w:highlight w:val="none"/>
                <w:lang w:val="en-US" w:eastAsia="zh-CN"/>
              </w:rPr>
              <w:t>服务需求</w:t>
            </w:r>
          </w:p>
        </w:tc>
        <w:tc>
          <w:tcPr>
            <w:tcW w:w="20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b w:val="0"/>
                <w:bCs w:val="0"/>
                <w:color w:val="auto"/>
                <w:sz w:val="28"/>
                <w:szCs w:val="28"/>
                <w:highlight w:val="none"/>
                <w:vertAlign w:val="baseline"/>
                <w:lang w:val="en-US" w:eastAsia="zh-CN"/>
              </w:rPr>
            </w:pPr>
            <w:r>
              <w:rPr>
                <w:rFonts w:hint="eastAsia" w:asciiTheme="majorEastAsia" w:hAnsiTheme="majorEastAsia" w:eastAsiaTheme="majorEastAsia" w:cstheme="majorEastAsia"/>
                <w:b w:val="0"/>
                <w:bCs w:val="0"/>
                <w:color w:val="auto"/>
                <w:sz w:val="28"/>
                <w:szCs w:val="28"/>
                <w:highlight w:val="none"/>
                <w:vertAlign w:val="baseline"/>
                <w:lang w:val="en-US" w:eastAsia="zh-CN"/>
              </w:rPr>
              <w:t>具体响应</w:t>
            </w:r>
          </w:p>
        </w:tc>
        <w:tc>
          <w:tcPr>
            <w:tcW w:w="14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b/>
                <w:color w:val="auto"/>
                <w:sz w:val="28"/>
                <w:szCs w:val="28"/>
                <w:highlight w:val="none"/>
                <w:vertAlign w:val="baseline"/>
                <w:lang w:val="en-US" w:eastAsia="zh-CN"/>
              </w:rPr>
            </w:pPr>
            <w:r>
              <w:rPr>
                <w:rFonts w:hint="eastAsia" w:asciiTheme="majorEastAsia" w:hAnsiTheme="majorEastAsia" w:eastAsiaTheme="majorEastAsia" w:cstheme="majorEastAsia"/>
                <w:color w:val="auto"/>
                <w:sz w:val="28"/>
                <w:szCs w:val="28"/>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为采购方解答在经济活动、人事管理、行政管理、科研管理等方面常见法律问题，对采购方有关业务涉及的法律问题提供法律意见。</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u w:val="none"/>
                <w:lang w:val="en-US" w:eastAsia="zh-CN"/>
              </w:rPr>
              <w:t>协助采购方审查、</w:t>
            </w:r>
            <w:r>
              <w:rPr>
                <w:rFonts w:hint="eastAsia" w:asciiTheme="majorEastAsia" w:hAnsiTheme="majorEastAsia" w:eastAsiaTheme="majorEastAsia" w:cstheme="majorEastAsia"/>
                <w:b w:val="0"/>
                <w:bCs w:val="0"/>
                <w:color w:val="auto"/>
                <w:sz w:val="21"/>
                <w:szCs w:val="21"/>
                <w:u w:val="none"/>
                <w:lang w:val="en-US" w:eastAsia="zh-CN"/>
              </w:rPr>
              <w:t>修改法律事务文件、文书；</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3</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u w:val="none"/>
                <w:lang w:val="en-US" w:eastAsia="zh-CN"/>
              </w:rPr>
              <w:t>协助采购方审查、</w:t>
            </w:r>
            <w:r>
              <w:rPr>
                <w:rFonts w:hint="eastAsia" w:asciiTheme="majorEastAsia" w:hAnsiTheme="majorEastAsia" w:eastAsiaTheme="majorEastAsia" w:cstheme="majorEastAsia"/>
                <w:b w:val="0"/>
                <w:bCs w:val="0"/>
                <w:color w:val="auto"/>
                <w:sz w:val="21"/>
                <w:szCs w:val="21"/>
                <w:u w:val="none"/>
                <w:lang w:val="en-US" w:eastAsia="zh-CN"/>
              </w:rPr>
              <w:t>修改法律事务文件、文书；</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u w:val="none"/>
                <w:lang w:val="en-US" w:eastAsia="zh-CN"/>
              </w:rPr>
              <w:t>协助采购方审查、</w:t>
            </w:r>
            <w:r>
              <w:rPr>
                <w:rFonts w:hint="eastAsia" w:asciiTheme="majorEastAsia" w:hAnsiTheme="majorEastAsia" w:eastAsiaTheme="majorEastAsia" w:cstheme="majorEastAsia"/>
                <w:b w:val="0"/>
                <w:bCs w:val="0"/>
                <w:color w:val="auto"/>
                <w:sz w:val="21"/>
                <w:szCs w:val="21"/>
                <w:u w:val="none"/>
                <w:lang w:val="en-US" w:eastAsia="zh-CN"/>
              </w:rPr>
              <w:t>修改法律事务文件、文书；</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w:t>
            </w:r>
          </w:p>
        </w:tc>
        <w:tc>
          <w:tcPr>
            <w:tcW w:w="4546"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应采购方要求，列席采购方的重大会议，提供法律意见;</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6</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依据采购方授权，代理采购方参加民事、行政、刑事诉讼或仲裁，代理采购方参加非诉讼法律事务的调解、斡旋</w:t>
            </w:r>
            <w:r>
              <w:rPr>
                <w:rFonts w:hint="eastAsia" w:asciiTheme="majorEastAsia" w:hAnsiTheme="majorEastAsia" w:eastAsiaTheme="majorEastAsia" w:cstheme="majorEastAsia"/>
                <w:b w:val="0"/>
                <w:bCs w:val="0"/>
                <w:color w:val="auto"/>
                <w:sz w:val="21"/>
                <w:szCs w:val="21"/>
                <w:highlight w:val="none"/>
                <w:u w:val="none"/>
                <w:lang w:val="en-US" w:eastAsia="zh-CN"/>
              </w:rPr>
              <w:t>，代理采购方对欠款患者拟发催款函或提起诉讼；</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协助采购方建立健全采购方业务范围的各项规章制度、调整劳资关系，完善病历材料法律事项，加强人事、财务、设备、耗材、资产、医疗业务等经营管理与风险防控；</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8</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协助采购方建立健全采购方业务范围的各项规章制度、调整劳资关系，完善病历材料法律事项，加强人事、财务、设备、耗材、资产、医疗业务等经营管理与风险防控；</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w:t>
            </w:r>
          </w:p>
        </w:tc>
        <w:tc>
          <w:tcPr>
            <w:tcW w:w="4546"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根据需要协助采购方出具律师函等文书;</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10</w:t>
            </w:r>
          </w:p>
        </w:tc>
        <w:tc>
          <w:tcPr>
            <w:tcW w:w="4546"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根据需要协助采购方出具律师函等文书;</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w:t>
            </w:r>
          </w:p>
        </w:tc>
        <w:tc>
          <w:tcPr>
            <w:tcW w:w="4546"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根据需要协助采购方出具律师函等文书;</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12</w:t>
            </w:r>
          </w:p>
        </w:tc>
        <w:tc>
          <w:tcPr>
            <w:tcW w:w="4546"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法律顾问采用不定期方式到采购方单位提供法律服务相关工作，可通过电话联系、预约。采购方遇到紧急事务可随时联系法律顾问到医院协助开展工作。</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13</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u w:val="none"/>
                <w:lang w:val="en-US" w:eastAsia="zh-CN"/>
              </w:rPr>
              <w:t>拟投入的律师团队要求：</w:t>
            </w:r>
            <w:r>
              <w:rPr>
                <w:rFonts w:hint="eastAsia" w:asciiTheme="majorEastAsia" w:hAnsiTheme="majorEastAsia" w:eastAsiaTheme="majorEastAsia" w:cstheme="majorEastAsia"/>
                <w:b w:val="0"/>
                <w:bCs w:val="0"/>
                <w:color w:val="auto"/>
                <w:sz w:val="21"/>
                <w:szCs w:val="21"/>
                <w:highlight w:val="none"/>
                <w:u w:val="none"/>
                <w:lang w:val="en-US" w:eastAsia="zh-CN"/>
              </w:rPr>
              <w:t>至少指派1名专职律师负责本项目，与采购方专门对接。未经采购人同意，不得随意更换主办律师。</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14</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u w:val="none"/>
                <w:lang w:val="en-US" w:eastAsia="zh-CN"/>
              </w:rPr>
            </w:pPr>
            <w:r>
              <w:rPr>
                <w:rFonts w:hint="eastAsia" w:asciiTheme="majorEastAsia" w:hAnsiTheme="majorEastAsia" w:eastAsiaTheme="majorEastAsia" w:cstheme="majorEastAsia"/>
                <w:b w:val="0"/>
                <w:bCs w:val="0"/>
                <w:color w:val="auto"/>
                <w:sz w:val="21"/>
                <w:szCs w:val="21"/>
                <w:highlight w:val="none"/>
                <w:u w:val="none"/>
                <w:lang w:val="en-US" w:eastAsia="zh-CN"/>
              </w:rPr>
              <w:t>服务响应时限：具备专用电话，24小时</w:t>
            </w:r>
            <w:r>
              <w:rPr>
                <w:rFonts w:hint="default" w:ascii="Arial" w:hAnsi="Arial" w:cs="Arial" w:eastAsiaTheme="majorEastAsia"/>
                <w:b w:val="0"/>
                <w:bCs w:val="0"/>
                <w:color w:val="auto"/>
                <w:sz w:val="21"/>
                <w:szCs w:val="21"/>
                <w:highlight w:val="none"/>
                <w:u w:val="none"/>
                <w:lang w:val="en-US" w:eastAsia="zh-CN"/>
              </w:rPr>
              <w:t>×</w:t>
            </w:r>
            <w:bookmarkStart w:id="2" w:name="_GoBack"/>
            <w:bookmarkEnd w:id="2"/>
            <w:r>
              <w:rPr>
                <w:rFonts w:hint="eastAsia" w:asciiTheme="majorEastAsia" w:hAnsiTheme="majorEastAsia" w:eastAsiaTheme="majorEastAsia" w:cstheme="majorEastAsia"/>
                <w:b w:val="0"/>
                <w:bCs w:val="0"/>
                <w:color w:val="auto"/>
                <w:sz w:val="21"/>
                <w:szCs w:val="21"/>
                <w:highlight w:val="none"/>
                <w:u w:val="none"/>
                <w:lang w:val="en-US" w:eastAsia="zh-CN"/>
              </w:rPr>
              <w:t>365天有专人接听；紧急情况下能30分钟至1小时内到达</w:t>
            </w:r>
            <w:r>
              <w:rPr>
                <w:rFonts w:hint="eastAsia" w:asciiTheme="majorEastAsia" w:hAnsiTheme="majorEastAsia" w:eastAsiaTheme="majorEastAsia" w:cstheme="majorEastAsia"/>
                <w:b w:val="0"/>
                <w:bCs w:val="0"/>
                <w:color w:val="auto"/>
                <w:sz w:val="21"/>
                <w:szCs w:val="21"/>
                <w:u w:val="none"/>
                <w:lang w:val="en-US" w:eastAsia="zh-CN"/>
              </w:rPr>
              <w:t>医院现场，协助处理相关业务</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7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15</w:t>
            </w:r>
          </w:p>
        </w:tc>
        <w:tc>
          <w:tcPr>
            <w:tcW w:w="4546"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b w:val="0"/>
                <w:bCs w:val="0"/>
                <w:color w:val="auto"/>
                <w:sz w:val="21"/>
                <w:szCs w:val="21"/>
                <w:u w:val="none"/>
                <w:lang w:val="en-US" w:eastAsia="zh-CN"/>
              </w:rPr>
              <w:t>承诺不与医院的主要医药耗材供应商、竞争对手建立利益关联，避免损害医院利益；必须签署保密协议，严防患者隐私数据和医院经营数据外泄。（须提供承诺函）</w:t>
            </w:r>
          </w:p>
        </w:tc>
        <w:tc>
          <w:tcPr>
            <w:tcW w:w="204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宋体"/>
                <w:b/>
                <w:color w:val="auto"/>
                <w:sz w:val="32"/>
                <w:szCs w:val="32"/>
                <w:highlight w:val="none"/>
                <w:vertAlign w:val="baseline"/>
                <w:lang w:val="en-US" w:eastAsia="zh-CN"/>
              </w:rPr>
            </w:pPr>
          </w:p>
        </w:tc>
        <w:tc>
          <w:tcPr>
            <w:tcW w:w="1463"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color w:val="auto"/>
                <w:sz w:val="24"/>
                <w:szCs w:val="24"/>
                <w:highlight w:val="none"/>
                <w:lang w:val="en-US" w:eastAsia="zh-CN"/>
              </w:rPr>
            </w:pPr>
          </w:p>
        </w:tc>
      </w:tr>
    </w:tbl>
    <w:p>
      <w:pPr>
        <w:numPr>
          <w:ilvl w:val="0"/>
          <w:numId w:val="0"/>
        </w:numPr>
        <w:jc w:val="center"/>
        <w:rPr>
          <w:rFonts w:hint="eastAsia"/>
          <w:b/>
          <w:color w:val="auto"/>
          <w:sz w:val="32"/>
          <w:szCs w:val="32"/>
          <w:highlight w:val="none"/>
        </w:rPr>
      </w:pPr>
      <w:r>
        <w:rPr>
          <w:rFonts w:hint="eastAsia"/>
          <w:b/>
          <w:color w:val="auto"/>
          <w:sz w:val="32"/>
          <w:szCs w:val="32"/>
          <w:highlight w:val="none"/>
          <w:lang w:val="en-US" w:eastAsia="zh-CN"/>
        </w:rPr>
        <w:t>9.服务需求</w:t>
      </w:r>
      <w:r>
        <w:rPr>
          <w:rFonts w:hint="eastAsia"/>
          <w:b/>
          <w:color w:val="auto"/>
          <w:sz w:val="32"/>
          <w:szCs w:val="32"/>
          <w:highlight w:val="none"/>
        </w:rPr>
        <w:t>响应表</w:t>
      </w:r>
    </w:p>
    <w:p>
      <w:pPr>
        <w:pStyle w:val="5"/>
        <w:numPr>
          <w:ilvl w:val="0"/>
          <w:numId w:val="0"/>
        </w:numPr>
        <w:rPr>
          <w:rFonts w:hint="eastAsia"/>
          <w:color w:val="auto"/>
          <w:highlight w:val="none"/>
        </w:rPr>
      </w:pPr>
    </w:p>
    <w:p>
      <w:pPr>
        <w:pStyle w:val="7"/>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7"/>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7"/>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7"/>
        <w:spacing w:line="400" w:lineRule="exact"/>
        <w:jc w:val="left"/>
        <w:rPr>
          <w:b/>
          <w:bCs/>
        </w:rPr>
      </w:pPr>
      <w:r>
        <w:rPr>
          <w:b/>
          <w:bCs/>
        </w:rPr>
        <w:t>说明：</w:t>
      </w:r>
    </w:p>
    <w:p>
      <w:pPr>
        <w:pStyle w:val="7"/>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w:t>
      </w:r>
      <w:r>
        <w:rPr>
          <w:rFonts w:hint="eastAsia"/>
          <w:sz w:val="24"/>
          <w:szCs w:val="24"/>
          <w:lang w:val="en-US" w:eastAsia="zh-CN"/>
        </w:rPr>
        <w:t>服务</w:t>
      </w:r>
      <w:r>
        <w:rPr>
          <w:rFonts w:hint="eastAsia"/>
          <w:sz w:val="24"/>
          <w:szCs w:val="24"/>
          <w:lang w:eastAsia="zh-CN"/>
        </w:rPr>
        <w:t>需求</w:t>
      </w:r>
      <w:r>
        <w:rPr>
          <w:sz w:val="24"/>
          <w:szCs w:val="24"/>
        </w:rPr>
        <w:t>条款相关偏离的条目如实填写响应表。</w:t>
      </w:r>
    </w:p>
    <w:p>
      <w:pPr>
        <w:pStyle w:val="7"/>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7"/>
        <w:spacing w:line="320" w:lineRule="exact"/>
        <w:ind w:left="315" w:hanging="360" w:hangingChars="150"/>
        <w:jc w:val="left"/>
        <w:rPr>
          <w:color w:val="auto"/>
          <w:sz w:val="24"/>
          <w:szCs w:val="24"/>
        </w:rPr>
      </w:pPr>
      <w:r>
        <w:rPr>
          <w:rFonts w:hint="eastAsia"/>
          <w:color w:val="auto"/>
          <w:sz w:val="24"/>
          <w:szCs w:val="24"/>
          <w:lang w:val="en-US" w:eastAsia="zh-CN"/>
        </w:rPr>
        <w:t>3、标注“</w:t>
      </w:r>
      <w:r>
        <w:rPr>
          <w:rFonts w:hint="eastAsia"/>
          <w:color w:val="auto"/>
          <w:sz w:val="24"/>
          <w:szCs w:val="24"/>
        </w:rPr>
        <w:t>▲</w:t>
      </w:r>
      <w:r>
        <w:rPr>
          <w:rFonts w:hint="eastAsia"/>
          <w:color w:val="auto"/>
          <w:sz w:val="24"/>
          <w:szCs w:val="24"/>
          <w:lang w:val="en-US" w:eastAsia="zh-CN"/>
        </w:rPr>
        <w:t>”的服务需求条款必须完全响应或正偏离；</w:t>
      </w:r>
    </w:p>
    <w:p>
      <w:pPr>
        <w:pStyle w:val="7"/>
        <w:spacing w:line="320" w:lineRule="exact"/>
        <w:ind w:left="315" w:hanging="360" w:hangingChars="150"/>
        <w:jc w:val="left"/>
        <w:rPr>
          <w:sz w:val="24"/>
          <w:szCs w:val="24"/>
        </w:rPr>
      </w:pPr>
      <w:r>
        <w:rPr>
          <w:rFonts w:hint="eastAsia"/>
          <w:sz w:val="24"/>
          <w:szCs w:val="24"/>
          <w:lang w:val="en-US" w:eastAsia="zh-CN"/>
        </w:rPr>
        <w:t>4</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10.商务要求偏离表</w:t>
      </w:r>
    </w:p>
    <w:p>
      <w:pPr>
        <w:pStyle w:val="7"/>
        <w:rPr>
          <w:rFonts w:hAnsi="宋体"/>
          <w:sz w:val="24"/>
          <w:szCs w:val="24"/>
          <w:u w:val="single"/>
        </w:rPr>
      </w:pPr>
      <w:r>
        <w:rPr>
          <w:rFonts w:hAnsi="宋体"/>
          <w:sz w:val="24"/>
          <w:szCs w:val="24"/>
        </w:rPr>
        <w:t>项目名称：</w:t>
      </w:r>
      <w:r>
        <w:rPr>
          <w:rFonts w:hAnsi="宋体"/>
          <w:sz w:val="24"/>
          <w:szCs w:val="24"/>
          <w:u w:val="single"/>
        </w:rPr>
        <w:t xml:space="preserve">                       </w:t>
      </w:r>
    </w:p>
    <w:p>
      <w:pPr>
        <w:pStyle w:val="7"/>
        <w:rPr>
          <w:rFonts w:hAnsi="宋体"/>
          <w:sz w:val="24"/>
          <w:szCs w:val="24"/>
        </w:rPr>
      </w:pPr>
    </w:p>
    <w:p>
      <w:pPr>
        <w:pStyle w:val="7"/>
        <w:rPr>
          <w:rFonts w:hAnsi="宋体"/>
          <w:sz w:val="24"/>
          <w:szCs w:val="24"/>
          <w:u w:val="single"/>
        </w:rPr>
      </w:pPr>
      <w:r>
        <w:rPr>
          <w:rFonts w:hAnsi="宋体"/>
          <w:sz w:val="24"/>
          <w:szCs w:val="24"/>
        </w:rPr>
        <w:t>项目编号：</w:t>
      </w:r>
      <w:r>
        <w:rPr>
          <w:rFonts w:hAnsi="宋体"/>
          <w:sz w:val="24"/>
          <w:szCs w:val="24"/>
          <w:u w:val="single"/>
        </w:rPr>
        <w:t xml:space="preserve">                       </w:t>
      </w:r>
    </w:p>
    <w:p>
      <w:pPr>
        <w:pStyle w:val="7"/>
        <w:rPr>
          <w:rFonts w:hAnsi="宋体"/>
          <w:sz w:val="24"/>
          <w:szCs w:val="24"/>
          <w:u w:val="single"/>
        </w:rPr>
      </w:pPr>
    </w:p>
    <w:tbl>
      <w:tblPr>
        <w:tblStyle w:val="12"/>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ind w:left="-105" w:leftChars="-50" w:right="-105" w:rightChars="-50"/>
              <w:jc w:val="center"/>
              <w:rPr>
                <w:color w:val="auto"/>
                <w:sz w:val="24"/>
                <w:szCs w:val="24"/>
                <w:highlight w:val="none"/>
                <w:lang w:val="en-US" w:eastAsia="zh-CN"/>
              </w:rPr>
            </w:pPr>
            <w:r>
              <w:rPr>
                <w:color w:val="auto"/>
                <w:sz w:val="24"/>
                <w:szCs w:val="24"/>
                <w:highlight w:val="none"/>
                <w:lang w:val="en-US" w:eastAsia="zh-CN"/>
              </w:rPr>
              <w:t>序号</w:t>
            </w:r>
          </w:p>
        </w:tc>
        <w:tc>
          <w:tcPr>
            <w:tcW w:w="4273" w:type="dxa"/>
            <w:noWrap w:val="0"/>
            <w:vAlign w:val="center"/>
          </w:tcPr>
          <w:p>
            <w:pPr>
              <w:pStyle w:val="7"/>
              <w:snapToGrid w:val="0"/>
              <w:jc w:val="center"/>
              <w:rPr>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w:t>
            </w:r>
            <w:r>
              <w:rPr>
                <w:rFonts w:hint="eastAsia"/>
                <w:color w:val="auto"/>
                <w:sz w:val="24"/>
                <w:szCs w:val="24"/>
                <w:highlight w:val="none"/>
                <w:lang w:val="en-US" w:eastAsia="zh-CN"/>
              </w:rPr>
              <w:t>商务要求内容</w:t>
            </w:r>
          </w:p>
        </w:tc>
        <w:tc>
          <w:tcPr>
            <w:tcW w:w="2599" w:type="dxa"/>
            <w:noWrap w:val="0"/>
            <w:vAlign w:val="center"/>
          </w:tcPr>
          <w:p>
            <w:pPr>
              <w:pStyle w:val="7"/>
              <w:snapToGrid w:val="0"/>
              <w:jc w:val="center"/>
              <w:rPr>
                <w:color w:val="auto"/>
                <w:sz w:val="24"/>
                <w:szCs w:val="24"/>
                <w:highlight w:val="none"/>
                <w:lang w:val="en-US" w:eastAsia="zh-CN"/>
              </w:rPr>
            </w:pPr>
            <w:r>
              <w:rPr>
                <w:color w:val="auto"/>
                <w:sz w:val="24"/>
                <w:szCs w:val="24"/>
                <w:highlight w:val="none"/>
                <w:lang w:val="en-US" w:eastAsia="zh-CN"/>
              </w:rPr>
              <w:t>响应文件具体响应</w:t>
            </w:r>
          </w:p>
        </w:tc>
        <w:tc>
          <w:tcPr>
            <w:tcW w:w="1143" w:type="dxa"/>
            <w:noWrap w:val="0"/>
            <w:vAlign w:val="center"/>
          </w:tcPr>
          <w:p>
            <w:pPr>
              <w:pStyle w:val="7"/>
              <w:snapToGrid w:val="0"/>
              <w:ind w:left="-105" w:leftChars="-50" w:right="-105" w:rightChars="-50"/>
              <w:jc w:val="center"/>
              <w:rPr>
                <w:color w:val="auto"/>
                <w:sz w:val="24"/>
                <w:szCs w:val="24"/>
                <w:highlight w:val="none"/>
                <w:lang w:val="en-US" w:eastAsia="zh-CN"/>
              </w:rPr>
            </w:pPr>
            <w:r>
              <w:rPr>
                <w:rFonts w:hint="eastAsia" w:hAnsi="宋体"/>
                <w:color w:val="auto"/>
                <w:sz w:val="24"/>
                <w:szCs w:val="24"/>
                <w:highlight w:val="none"/>
                <w:lang w:eastAsia="zh-CN"/>
              </w:rPr>
              <w:t>商务</w:t>
            </w:r>
            <w:r>
              <w:rPr>
                <w:color w:val="auto"/>
                <w:sz w:val="24"/>
                <w:szCs w:val="24"/>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auto"/>
                <w:sz w:val="24"/>
                <w:szCs w:val="24"/>
                <w:highlight w:val="none"/>
                <w:lang w:val="en-US" w:eastAsia="zh-CN"/>
              </w:rPr>
            </w:pPr>
            <w:r>
              <w:rPr>
                <w:color w:val="auto"/>
                <w:sz w:val="24"/>
                <w:szCs w:val="24"/>
                <w:highlight w:val="none"/>
                <w:lang w:val="en-US" w:eastAsia="zh-CN"/>
              </w:rPr>
              <w:t>1</w:t>
            </w:r>
          </w:p>
        </w:tc>
        <w:tc>
          <w:tcPr>
            <w:tcW w:w="4273" w:type="dxa"/>
            <w:noWrap w:val="0"/>
            <w:vAlign w:val="center"/>
          </w:tcPr>
          <w:p>
            <w:pPr>
              <w:pStyle w:val="7"/>
              <w:snapToGrid w:val="0"/>
              <w:jc w:val="left"/>
              <w:rPr>
                <w:color w:val="auto"/>
                <w:sz w:val="24"/>
                <w:szCs w:val="24"/>
                <w:highlight w:val="none"/>
                <w:lang w:val="en-US" w:eastAsia="zh-CN"/>
              </w:rPr>
            </w:pPr>
            <w:r>
              <w:rPr>
                <w:rFonts w:hint="eastAsia"/>
                <w:color w:val="auto"/>
                <w:sz w:val="24"/>
                <w:szCs w:val="24"/>
                <w:highlight w:val="none"/>
                <w:lang w:val="en-US" w:eastAsia="zh-CN"/>
              </w:rPr>
              <w:t>服务时间：一年</w:t>
            </w:r>
          </w:p>
        </w:tc>
        <w:tc>
          <w:tcPr>
            <w:tcW w:w="2599" w:type="dxa"/>
            <w:noWrap w:val="0"/>
            <w:vAlign w:val="center"/>
          </w:tcPr>
          <w:p>
            <w:pPr>
              <w:pStyle w:val="7"/>
              <w:snapToGrid w:val="0"/>
              <w:jc w:val="center"/>
              <w:rPr>
                <w:color w:val="auto"/>
                <w:sz w:val="24"/>
                <w:szCs w:val="24"/>
                <w:highlight w:val="none"/>
                <w:lang w:val="en-US" w:eastAsia="zh-CN"/>
              </w:rPr>
            </w:pPr>
          </w:p>
        </w:tc>
        <w:tc>
          <w:tcPr>
            <w:tcW w:w="1143" w:type="dxa"/>
            <w:noWrap w:val="0"/>
            <w:vAlign w:val="center"/>
          </w:tcPr>
          <w:p>
            <w:pPr>
              <w:pStyle w:val="7"/>
              <w:snapToGrid w:val="0"/>
              <w:jc w:val="center"/>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4273" w:type="dxa"/>
            <w:noWrap w:val="0"/>
            <w:vAlign w:val="center"/>
          </w:tcPr>
          <w:p>
            <w:pPr>
              <w:pStyle w:val="7"/>
              <w:snapToGrid w:val="0"/>
              <w:jc w:val="left"/>
              <w:rPr>
                <w:rFonts w:hint="eastAsia"/>
                <w:color w:val="auto"/>
                <w:sz w:val="24"/>
                <w:szCs w:val="24"/>
                <w:highlight w:val="none"/>
                <w:lang w:val="en-US" w:eastAsia="zh-CN"/>
              </w:rPr>
            </w:pPr>
            <w:r>
              <w:rPr>
                <w:rFonts w:hint="eastAsia"/>
                <w:color w:val="auto"/>
                <w:sz w:val="24"/>
                <w:szCs w:val="24"/>
                <w:highlight w:val="none"/>
                <w:lang w:val="en-US" w:eastAsia="zh-CN"/>
              </w:rPr>
              <w:t>项目地点：梧州市人民医院、梧州市长洲区大塘社区卫生服务中心。</w:t>
            </w:r>
          </w:p>
        </w:tc>
        <w:tc>
          <w:tcPr>
            <w:tcW w:w="2599" w:type="dxa"/>
            <w:noWrap w:val="0"/>
            <w:vAlign w:val="center"/>
          </w:tcPr>
          <w:p>
            <w:pPr>
              <w:pStyle w:val="7"/>
              <w:snapToGrid w:val="0"/>
              <w:jc w:val="center"/>
              <w:rPr>
                <w:color w:val="auto"/>
                <w:sz w:val="24"/>
                <w:szCs w:val="24"/>
                <w:highlight w:val="none"/>
                <w:lang w:val="en-US" w:eastAsia="zh-CN"/>
              </w:rPr>
            </w:pPr>
          </w:p>
        </w:tc>
        <w:tc>
          <w:tcPr>
            <w:tcW w:w="1143" w:type="dxa"/>
            <w:noWrap w:val="0"/>
            <w:vAlign w:val="center"/>
          </w:tcPr>
          <w:p>
            <w:pPr>
              <w:pStyle w:val="7"/>
              <w:snapToGrid w:val="0"/>
              <w:jc w:val="center"/>
              <w:rPr>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auto"/>
                <w:sz w:val="24"/>
                <w:szCs w:val="24"/>
                <w:highlight w:val="none"/>
                <w:lang w:val="en-US" w:eastAsia="zh-CN"/>
              </w:rPr>
            </w:pPr>
            <w:r>
              <w:rPr>
                <w:rFonts w:hint="eastAsia"/>
                <w:color w:val="auto"/>
                <w:sz w:val="24"/>
                <w:szCs w:val="24"/>
                <w:highlight w:val="none"/>
                <w:lang w:val="en-US" w:eastAsia="zh-CN"/>
              </w:rPr>
              <w:t>3</w:t>
            </w:r>
          </w:p>
        </w:tc>
        <w:tc>
          <w:tcPr>
            <w:tcW w:w="4273" w:type="dxa"/>
            <w:noWrap w:val="0"/>
            <w:vAlign w:val="center"/>
          </w:tcPr>
          <w:p>
            <w:pPr>
              <w:pStyle w:val="7"/>
              <w:snapToGrid w:val="0"/>
              <w:jc w:val="left"/>
              <w:rPr>
                <w:color w:val="auto"/>
                <w:sz w:val="24"/>
                <w:szCs w:val="24"/>
                <w:highlight w:val="none"/>
                <w:lang w:val="en-US" w:eastAsia="zh-CN"/>
              </w:rPr>
            </w:pPr>
            <w:r>
              <w:rPr>
                <w:rFonts w:hint="eastAsia"/>
                <w:color w:val="auto"/>
                <w:sz w:val="24"/>
                <w:szCs w:val="24"/>
                <w:highlight w:val="none"/>
                <w:lang w:val="en-US" w:eastAsia="zh-CN"/>
              </w:rPr>
              <w:t>支付方式：双方签定合同15日内，采购方支付合同总额的50%，合同到期后15日内采购方支付合同总额的50%。服务供应方应在采购方支付费用前，向采购方出具等额合法发票。</w:t>
            </w:r>
          </w:p>
        </w:tc>
        <w:tc>
          <w:tcPr>
            <w:tcW w:w="2599" w:type="dxa"/>
            <w:noWrap w:val="0"/>
            <w:vAlign w:val="center"/>
          </w:tcPr>
          <w:p>
            <w:pPr>
              <w:pStyle w:val="7"/>
              <w:snapToGrid w:val="0"/>
              <w:jc w:val="center"/>
              <w:rPr>
                <w:color w:val="auto"/>
                <w:sz w:val="24"/>
                <w:szCs w:val="24"/>
                <w:highlight w:val="none"/>
                <w:lang w:val="en-US" w:eastAsia="zh-CN"/>
              </w:rPr>
            </w:pPr>
          </w:p>
        </w:tc>
        <w:tc>
          <w:tcPr>
            <w:tcW w:w="1143" w:type="dxa"/>
            <w:noWrap w:val="0"/>
            <w:vAlign w:val="center"/>
          </w:tcPr>
          <w:p>
            <w:pPr>
              <w:pStyle w:val="7"/>
              <w:snapToGrid w:val="0"/>
              <w:jc w:val="center"/>
              <w:rPr>
                <w:color w:val="auto"/>
                <w:sz w:val="24"/>
                <w:szCs w:val="24"/>
                <w:highlight w:val="none"/>
                <w:lang w:val="en-US" w:eastAsia="zh-CN"/>
              </w:rPr>
            </w:pPr>
          </w:p>
        </w:tc>
      </w:tr>
    </w:tbl>
    <w:p>
      <w:pPr>
        <w:rPr>
          <w:rFonts w:hint="eastAsia"/>
          <w:color w:val="auto"/>
          <w:sz w:val="24"/>
          <w:highlight w:val="none"/>
        </w:rPr>
      </w:pPr>
    </w:p>
    <w:p>
      <w:pPr>
        <w:rPr>
          <w:rFonts w:hint="eastAsia"/>
          <w:color w:val="auto"/>
          <w:highlight w:val="none"/>
        </w:rPr>
      </w:pPr>
    </w:p>
    <w:p>
      <w:pPr>
        <w:pStyle w:val="7"/>
        <w:spacing w:line="500" w:lineRule="exact"/>
        <w:ind w:firstLine="2400" w:firstLineChars="1000"/>
        <w:rPr>
          <w:rFonts w:hAnsi="宋体"/>
          <w:color w:val="auto"/>
          <w:sz w:val="24"/>
          <w:szCs w:val="24"/>
          <w:highlight w:val="none"/>
          <w:u w:val="single"/>
        </w:rPr>
      </w:pPr>
      <w:r>
        <w:rPr>
          <w:rFonts w:hAnsi="宋体"/>
          <w:color w:val="auto"/>
          <w:sz w:val="24"/>
          <w:szCs w:val="24"/>
          <w:highlight w:val="none"/>
        </w:rPr>
        <w:t>供应商（加盖公章）：</w:t>
      </w:r>
      <w:r>
        <w:rPr>
          <w:rFonts w:hAnsi="宋体"/>
          <w:color w:val="auto"/>
          <w:sz w:val="24"/>
          <w:szCs w:val="24"/>
          <w:highlight w:val="none"/>
          <w:u w:val="single"/>
        </w:rPr>
        <w:t xml:space="preserve">                                 </w:t>
      </w:r>
    </w:p>
    <w:p>
      <w:pPr>
        <w:pStyle w:val="7"/>
        <w:spacing w:line="500" w:lineRule="exact"/>
        <w:ind w:firstLine="2400" w:firstLineChars="1000"/>
        <w:rPr>
          <w:rFonts w:hAnsi="宋体"/>
          <w:color w:val="auto"/>
          <w:sz w:val="24"/>
          <w:szCs w:val="24"/>
          <w:highlight w:val="none"/>
          <w:u w:val="single"/>
        </w:rPr>
      </w:pPr>
      <w:r>
        <w:rPr>
          <w:rFonts w:hAnsi="宋体"/>
          <w:color w:val="auto"/>
          <w:sz w:val="24"/>
          <w:szCs w:val="24"/>
          <w:highlight w:val="none"/>
        </w:rPr>
        <w:t>法定代表人(负责人)或委托代理人（签字）：</w:t>
      </w:r>
      <w:r>
        <w:rPr>
          <w:rFonts w:hAnsi="宋体"/>
          <w:color w:val="auto"/>
          <w:sz w:val="24"/>
          <w:szCs w:val="24"/>
          <w:highlight w:val="none"/>
          <w:u w:val="single"/>
        </w:rPr>
        <w:t xml:space="preserve">             </w:t>
      </w:r>
    </w:p>
    <w:p>
      <w:pPr>
        <w:ind w:firstLine="2400" w:firstLineChars="1000"/>
        <w:rPr>
          <w:color w:val="auto"/>
          <w:highlight w:val="none"/>
        </w:rPr>
      </w:pPr>
      <w:r>
        <w:rPr>
          <w:rFonts w:hAnsi="宋体"/>
          <w:color w:val="auto"/>
          <w:sz w:val="24"/>
          <w:szCs w:val="24"/>
          <w:highlight w:val="none"/>
        </w:rPr>
        <w:t>日</w:t>
      </w:r>
      <w:r>
        <w:rPr>
          <w:rFonts w:hint="eastAsia" w:hAnsi="宋体"/>
          <w:color w:val="auto"/>
          <w:sz w:val="24"/>
          <w:szCs w:val="24"/>
          <w:highlight w:val="none"/>
          <w:lang w:val="en-US" w:eastAsia="zh-CN"/>
        </w:rPr>
        <w:t xml:space="preserve">                 </w:t>
      </w:r>
      <w:r>
        <w:rPr>
          <w:rFonts w:hAnsi="宋体"/>
          <w:color w:val="auto"/>
          <w:sz w:val="24"/>
          <w:szCs w:val="24"/>
          <w:highlight w:val="none"/>
        </w:rPr>
        <w:t>期：</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Ansi="宋体"/>
          <w:color w:val="auto"/>
          <w:sz w:val="24"/>
          <w:szCs w:val="24"/>
          <w:highlight w:val="none"/>
          <w:u w:val="single"/>
        </w:rPr>
        <w:t xml:space="preserve"> 年  </w:t>
      </w:r>
      <w:r>
        <w:rPr>
          <w:rFonts w:hint="eastAsia" w:hAnsi="宋体"/>
          <w:color w:val="auto"/>
          <w:sz w:val="24"/>
          <w:szCs w:val="24"/>
          <w:highlight w:val="none"/>
          <w:u w:val="single"/>
          <w:lang w:val="en-US" w:eastAsia="zh-CN"/>
        </w:rPr>
        <w:t xml:space="preserve">  </w:t>
      </w:r>
      <w:r>
        <w:rPr>
          <w:rFonts w:hAnsi="宋体"/>
          <w:color w:val="auto"/>
          <w:sz w:val="24"/>
          <w:szCs w:val="24"/>
          <w:highlight w:val="none"/>
          <w:u w:val="single"/>
        </w:rPr>
        <w:t xml:space="preserve">  月  </w:t>
      </w:r>
      <w:r>
        <w:rPr>
          <w:rFonts w:hint="eastAsia" w:hAnsi="宋体"/>
          <w:color w:val="auto"/>
          <w:sz w:val="24"/>
          <w:szCs w:val="24"/>
          <w:highlight w:val="none"/>
          <w:u w:val="single"/>
          <w:lang w:val="en-US" w:eastAsia="zh-CN"/>
        </w:rPr>
        <w:t xml:space="preserve">  </w:t>
      </w:r>
      <w:r>
        <w:rPr>
          <w:rFonts w:hAnsi="宋体"/>
          <w:color w:val="auto"/>
          <w:sz w:val="24"/>
          <w:szCs w:val="24"/>
          <w:highlight w:val="none"/>
          <w:u w:val="single"/>
        </w:rPr>
        <w:t xml:space="preserve">  日</w:t>
      </w:r>
    </w:p>
    <w:p>
      <w:pPr>
        <w:pStyle w:val="7"/>
        <w:spacing w:line="400" w:lineRule="exact"/>
        <w:jc w:val="left"/>
        <w:rPr>
          <w:b/>
          <w:bCs/>
          <w:color w:val="auto"/>
          <w:highlight w:val="none"/>
        </w:rPr>
      </w:pPr>
    </w:p>
    <w:p>
      <w:pPr>
        <w:pStyle w:val="7"/>
        <w:spacing w:line="400" w:lineRule="exact"/>
        <w:jc w:val="left"/>
        <w:rPr>
          <w:b/>
          <w:bCs/>
          <w:color w:val="auto"/>
          <w:highlight w:val="none"/>
        </w:rPr>
      </w:pPr>
      <w:r>
        <w:rPr>
          <w:b/>
          <w:bCs/>
          <w:color w:val="auto"/>
          <w:highlight w:val="none"/>
        </w:rPr>
        <w:t>说明：</w:t>
      </w:r>
    </w:p>
    <w:p>
      <w:pPr>
        <w:pStyle w:val="7"/>
        <w:spacing w:line="320" w:lineRule="exact"/>
        <w:ind w:left="315" w:hanging="300" w:hangingChars="150"/>
        <w:jc w:val="left"/>
        <w:rPr>
          <w:color w:val="auto"/>
          <w:highlight w:val="none"/>
        </w:rPr>
      </w:pPr>
      <w:r>
        <w:rPr>
          <w:color w:val="auto"/>
          <w:highlight w:val="none"/>
        </w:rPr>
        <w:t>1、供应商必须根据所提供的产品和服务的实际情况对</w:t>
      </w:r>
      <w:r>
        <w:rPr>
          <w:rFonts w:hint="eastAsia"/>
          <w:color w:val="auto"/>
          <w:highlight w:val="none"/>
          <w:lang w:eastAsia="zh-CN"/>
        </w:rPr>
        <w:t>项目的商务</w:t>
      </w:r>
      <w:r>
        <w:rPr>
          <w:color w:val="auto"/>
          <w:highlight w:val="none"/>
        </w:rPr>
        <w:t>条款</w:t>
      </w:r>
      <w:r>
        <w:rPr>
          <w:rFonts w:hint="eastAsia"/>
          <w:color w:val="auto"/>
          <w:highlight w:val="none"/>
          <w:lang w:eastAsia="zh-CN"/>
        </w:rPr>
        <w:t>内容</w:t>
      </w:r>
      <w:r>
        <w:rPr>
          <w:color w:val="auto"/>
          <w:highlight w:val="none"/>
        </w:rPr>
        <w:t>相关偏离的条目如实填写响应表。</w:t>
      </w:r>
    </w:p>
    <w:p>
      <w:pPr>
        <w:pStyle w:val="7"/>
        <w:spacing w:line="320" w:lineRule="exact"/>
        <w:ind w:left="315" w:hanging="300" w:hangingChars="150"/>
        <w:jc w:val="left"/>
        <w:rPr>
          <w:rFonts w:ascii="宋体" w:eastAsia="宋体" w:cs="Times New Roman"/>
          <w:color w:val="auto"/>
          <w:highlight w:val="none"/>
        </w:rPr>
      </w:pPr>
      <w:r>
        <w:rPr>
          <w:rFonts w:hint="eastAsia" w:ascii="宋体" w:eastAsia="宋体" w:cs="Times New Roman"/>
          <w:color w:val="auto"/>
          <w:highlight w:val="none"/>
          <w:lang w:val="en-US" w:eastAsia="zh-CN"/>
        </w:rPr>
        <w:t>2</w:t>
      </w:r>
      <w:r>
        <w:rPr>
          <w:rFonts w:ascii="宋体" w:eastAsia="宋体" w:cs="Times New Roman"/>
          <w:color w:val="auto"/>
          <w:highlight w:val="none"/>
        </w:rPr>
        <w:t>、是否偏离用符号“+、=、-”分别表示正偏离、完全响应、负偏离。</w:t>
      </w:r>
    </w:p>
    <w:p>
      <w:pPr>
        <w:pStyle w:val="7"/>
        <w:spacing w:line="320" w:lineRule="exact"/>
        <w:ind w:left="315" w:hanging="300" w:hangingChars="150"/>
        <w:jc w:val="left"/>
        <w:rPr>
          <w:rFonts w:hint="eastAsia" w:ascii="宋体" w:eastAsia="宋体" w:cs="Times New Roman"/>
          <w:color w:val="auto"/>
          <w:highlight w:val="none"/>
          <w:lang w:val="en-US" w:eastAsia="zh-CN"/>
        </w:rPr>
      </w:pPr>
      <w:r>
        <w:rPr>
          <w:rFonts w:hint="eastAsia" w:ascii="宋体" w:eastAsia="宋体" w:cs="Times New Roman"/>
          <w:color w:val="auto"/>
          <w:highlight w:val="none"/>
          <w:lang w:val="en-US" w:eastAsia="zh-CN"/>
        </w:rPr>
        <w:t>3、标注“</w:t>
      </w:r>
      <w:r>
        <w:rPr>
          <w:rFonts w:hint="eastAsia" w:ascii="宋体" w:eastAsia="宋体" w:cs="Times New Roman"/>
          <w:color w:val="auto"/>
          <w:highlight w:val="none"/>
        </w:rPr>
        <w:t>▲</w:t>
      </w:r>
      <w:r>
        <w:rPr>
          <w:rFonts w:hint="eastAsia" w:ascii="宋体" w:eastAsia="宋体" w:cs="Times New Roman"/>
          <w:color w:val="auto"/>
          <w:highlight w:val="none"/>
          <w:lang w:val="en-US" w:eastAsia="zh-CN"/>
        </w:rPr>
        <w:t>”的商务条款必须完全响应或正偏离；</w:t>
      </w:r>
    </w:p>
    <w:p>
      <w:pPr>
        <w:pStyle w:val="7"/>
        <w:spacing w:line="320" w:lineRule="exact"/>
        <w:ind w:left="315" w:hanging="300" w:hangingChars="150"/>
        <w:jc w:val="left"/>
        <w:rPr>
          <w:rFonts w:ascii="宋体" w:eastAsia="宋体" w:cs="Times New Roman"/>
          <w:color w:val="auto"/>
          <w:highlight w:val="none"/>
        </w:rPr>
      </w:pPr>
      <w:r>
        <w:rPr>
          <w:rFonts w:hint="eastAsia" w:ascii="宋体" w:eastAsia="宋体" w:cs="Times New Roman"/>
          <w:color w:val="auto"/>
          <w:highlight w:val="none"/>
          <w:lang w:val="en-US" w:eastAsia="zh-CN"/>
        </w:rPr>
        <w:t>4</w:t>
      </w:r>
      <w:r>
        <w:rPr>
          <w:rFonts w:ascii="宋体" w:eastAsia="宋体" w:cs="Times New Roman"/>
          <w:color w:val="auto"/>
          <w:highlight w:val="none"/>
        </w:rPr>
        <w:t>、评</w:t>
      </w:r>
      <w:r>
        <w:rPr>
          <w:rFonts w:hint="eastAsia" w:ascii="宋体" w:eastAsia="宋体" w:cs="Times New Roman"/>
          <w:color w:val="auto"/>
          <w:highlight w:val="none"/>
          <w:lang w:eastAsia="zh-CN"/>
        </w:rPr>
        <w:t>审</w:t>
      </w:r>
      <w:r>
        <w:rPr>
          <w:rFonts w:ascii="宋体" w:eastAsia="宋体" w:cs="Times New Roman"/>
          <w:color w:val="auto"/>
          <w:highlight w:val="none"/>
        </w:rPr>
        <w:t>小组发现供应商有虚假描述的，视为响应无效。</w:t>
      </w:r>
    </w:p>
    <w:p>
      <w:pPr>
        <w:pStyle w:val="7"/>
        <w:spacing w:line="320" w:lineRule="exact"/>
        <w:ind w:left="315" w:hanging="300" w:hangingChars="150"/>
        <w:jc w:val="left"/>
        <w:rPr>
          <w:rFonts w:hint="eastAsia" w:ascii="宋体" w:eastAsia="宋体" w:cs="Times New Roman"/>
          <w:color w:val="auto"/>
          <w:highlight w:val="none"/>
          <w:lang w:eastAsia="zh-CN"/>
        </w:rPr>
      </w:pPr>
      <w:r>
        <w:rPr>
          <w:rFonts w:ascii="宋体" w:eastAsia="宋体" w:cs="Times New Roman"/>
          <w:color w:val="auto"/>
          <w:highlight w:val="none"/>
        </w:rPr>
        <w:br w:type="page"/>
      </w:r>
    </w:p>
    <w:p>
      <w:pPr>
        <w:rPr>
          <w:rFonts w:hint="eastAsia" w:ascii="Times New Roman" w:hAnsi="Times New Roman" w:eastAsia="宋体" w:cs="Times New Roman"/>
          <w:b w:val="0"/>
          <w:bCs/>
          <w:color w:val="auto"/>
          <w:kern w:val="2"/>
          <w:sz w:val="21"/>
          <w:szCs w:val="21"/>
          <w:highlight w:val="none"/>
          <w:lang w:val="en-US" w:eastAsia="zh-CN" w:bidi="ar-SA"/>
        </w:rPr>
      </w:pP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拟投入人员情况</w:t>
      </w:r>
    </w:p>
    <w:p>
      <w:pPr>
        <w:pStyle w:val="5"/>
        <w:ind w:firstLine="422" w:firstLineChars="200"/>
        <w:jc w:val="center"/>
        <w:rPr>
          <w:rFonts w:hint="default"/>
          <w:lang w:val="en-US" w:eastAsia="zh-CN"/>
        </w:rPr>
      </w:pPr>
      <w:r>
        <w:rPr>
          <w:rFonts w:hint="eastAsia" w:cs="Times New Roman"/>
          <w:b/>
          <w:color w:val="auto"/>
          <w:sz w:val="21"/>
          <w:szCs w:val="21"/>
          <w:highlight w:val="none"/>
          <w:lang w:val="en-US" w:eastAsia="zh-CN"/>
        </w:rPr>
        <w:t>（</w:t>
      </w:r>
      <w:r>
        <w:rPr>
          <w:rFonts w:hint="eastAsia" w:cs="Times New Roman"/>
          <w:b w:val="0"/>
          <w:bCs/>
          <w:color w:val="auto"/>
          <w:sz w:val="21"/>
          <w:szCs w:val="21"/>
          <w:highlight w:val="none"/>
          <w:lang w:val="en-US" w:eastAsia="zh-CN"/>
        </w:rPr>
        <w:t>格式自拟，可</w:t>
      </w:r>
      <w:r>
        <w:rPr>
          <w:rFonts w:hint="eastAsia" w:cs="Times New Roman"/>
          <w:b w:val="0"/>
          <w:bCs/>
          <w:color w:val="auto"/>
          <w:kern w:val="2"/>
          <w:sz w:val="21"/>
          <w:szCs w:val="21"/>
          <w:highlight w:val="none"/>
          <w:lang w:val="en-US" w:eastAsia="zh-CN" w:bidi="ar-SA"/>
        </w:rPr>
        <w:t>根据本项目需求和评分标准的评审因素</w:t>
      </w:r>
      <w:r>
        <w:rPr>
          <w:rFonts w:hint="eastAsia" w:cs="Times New Roman"/>
          <w:b w:val="0"/>
          <w:bCs/>
          <w:color w:val="auto"/>
          <w:sz w:val="21"/>
          <w:szCs w:val="21"/>
          <w:highlight w:val="none"/>
          <w:lang w:val="en-US" w:eastAsia="zh-CN"/>
        </w:rPr>
        <w:t>提供对应的证明材料</w:t>
      </w:r>
      <w:r>
        <w:rPr>
          <w:rFonts w:hint="eastAsia" w:cs="Times New Roman"/>
          <w:b/>
          <w:color w:val="auto"/>
          <w:sz w:val="21"/>
          <w:szCs w:val="21"/>
          <w:highlight w:val="none"/>
          <w:lang w:val="en-US" w:eastAsia="zh-CN"/>
        </w:rPr>
        <w:t>。）</w:t>
      </w:r>
    </w:p>
    <w:p>
      <w:pPr>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br w:type="page"/>
      </w:r>
    </w:p>
    <w:p>
      <w:pPr>
        <w:numPr>
          <w:ilvl w:val="0"/>
          <w:numId w:val="1"/>
        </w:numPr>
        <w:jc w:val="center"/>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可由供应商根据本项目需求和评分标准的评审因素，结合自身实际情况提供。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FA957"/>
    <w:multiLevelType w:val="singleLevel"/>
    <w:tmpl w:val="FE7FA957"/>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E26"/>
    <w:rsid w:val="00484C4A"/>
    <w:rsid w:val="009D69E4"/>
    <w:rsid w:val="00BE59B7"/>
    <w:rsid w:val="00C230BE"/>
    <w:rsid w:val="02D31323"/>
    <w:rsid w:val="03852133"/>
    <w:rsid w:val="03F1544C"/>
    <w:rsid w:val="047E67C6"/>
    <w:rsid w:val="05F311C2"/>
    <w:rsid w:val="06073087"/>
    <w:rsid w:val="06506CDE"/>
    <w:rsid w:val="06DB1016"/>
    <w:rsid w:val="0702727A"/>
    <w:rsid w:val="08291606"/>
    <w:rsid w:val="090425C3"/>
    <w:rsid w:val="09A2061D"/>
    <w:rsid w:val="09C14406"/>
    <w:rsid w:val="09EA42CB"/>
    <w:rsid w:val="09F97601"/>
    <w:rsid w:val="0A9954E7"/>
    <w:rsid w:val="0AF3146A"/>
    <w:rsid w:val="0C0753D9"/>
    <w:rsid w:val="0C745B06"/>
    <w:rsid w:val="0E5F2A26"/>
    <w:rsid w:val="0EE07859"/>
    <w:rsid w:val="0F1312BB"/>
    <w:rsid w:val="0F9539A9"/>
    <w:rsid w:val="0FCB742D"/>
    <w:rsid w:val="0FE84EA0"/>
    <w:rsid w:val="120D3BA2"/>
    <w:rsid w:val="128F7865"/>
    <w:rsid w:val="13812A26"/>
    <w:rsid w:val="147521B1"/>
    <w:rsid w:val="14866069"/>
    <w:rsid w:val="165E0E69"/>
    <w:rsid w:val="16D15EDA"/>
    <w:rsid w:val="16EC4B78"/>
    <w:rsid w:val="17E32DA4"/>
    <w:rsid w:val="17EF03C8"/>
    <w:rsid w:val="185E1261"/>
    <w:rsid w:val="18F86C11"/>
    <w:rsid w:val="1938083B"/>
    <w:rsid w:val="1A094AE6"/>
    <w:rsid w:val="1A323180"/>
    <w:rsid w:val="1A7A68F2"/>
    <w:rsid w:val="1AD53CC1"/>
    <w:rsid w:val="1CD64190"/>
    <w:rsid w:val="1ED35123"/>
    <w:rsid w:val="1FDA5520"/>
    <w:rsid w:val="1FE06281"/>
    <w:rsid w:val="202B73A6"/>
    <w:rsid w:val="205F501D"/>
    <w:rsid w:val="206863E4"/>
    <w:rsid w:val="20C2039F"/>
    <w:rsid w:val="227A1B1A"/>
    <w:rsid w:val="231E2290"/>
    <w:rsid w:val="247340A9"/>
    <w:rsid w:val="249B5214"/>
    <w:rsid w:val="24A123F8"/>
    <w:rsid w:val="25034756"/>
    <w:rsid w:val="255C2222"/>
    <w:rsid w:val="27BC21D4"/>
    <w:rsid w:val="27E4645B"/>
    <w:rsid w:val="282339FA"/>
    <w:rsid w:val="284C4911"/>
    <w:rsid w:val="288040E5"/>
    <w:rsid w:val="29265B68"/>
    <w:rsid w:val="294F6476"/>
    <w:rsid w:val="29D07D3B"/>
    <w:rsid w:val="29DC3D4A"/>
    <w:rsid w:val="2A480124"/>
    <w:rsid w:val="2A795BF4"/>
    <w:rsid w:val="2A7E7711"/>
    <w:rsid w:val="2B160ACF"/>
    <w:rsid w:val="2B746227"/>
    <w:rsid w:val="2C280D63"/>
    <w:rsid w:val="2CC11469"/>
    <w:rsid w:val="2D1957A2"/>
    <w:rsid w:val="2DFD1B5A"/>
    <w:rsid w:val="2F1C6C03"/>
    <w:rsid w:val="2F2A5A7F"/>
    <w:rsid w:val="31581161"/>
    <w:rsid w:val="31D05343"/>
    <w:rsid w:val="3243493F"/>
    <w:rsid w:val="33197588"/>
    <w:rsid w:val="33791A1A"/>
    <w:rsid w:val="34633C5E"/>
    <w:rsid w:val="34C5784F"/>
    <w:rsid w:val="358A688A"/>
    <w:rsid w:val="362736AE"/>
    <w:rsid w:val="368A4024"/>
    <w:rsid w:val="37A73E1D"/>
    <w:rsid w:val="3886699A"/>
    <w:rsid w:val="38DE5E4E"/>
    <w:rsid w:val="39061499"/>
    <w:rsid w:val="390615A0"/>
    <w:rsid w:val="39FF2D2C"/>
    <w:rsid w:val="3AA907D9"/>
    <w:rsid w:val="3D0A49B1"/>
    <w:rsid w:val="3D752A12"/>
    <w:rsid w:val="3DA901D5"/>
    <w:rsid w:val="3E7B2E81"/>
    <w:rsid w:val="411C7D8F"/>
    <w:rsid w:val="420740C1"/>
    <w:rsid w:val="42526683"/>
    <w:rsid w:val="429678BD"/>
    <w:rsid w:val="43A61C8B"/>
    <w:rsid w:val="44A33F09"/>
    <w:rsid w:val="45C21FDC"/>
    <w:rsid w:val="45F53672"/>
    <w:rsid w:val="46011641"/>
    <w:rsid w:val="4685058A"/>
    <w:rsid w:val="47DB63E3"/>
    <w:rsid w:val="480310F5"/>
    <w:rsid w:val="486D24FC"/>
    <w:rsid w:val="489570F6"/>
    <w:rsid w:val="48F03D73"/>
    <w:rsid w:val="4A560C51"/>
    <w:rsid w:val="4AE41C16"/>
    <w:rsid w:val="4CBA0C7F"/>
    <w:rsid w:val="4E457949"/>
    <w:rsid w:val="4E5424E0"/>
    <w:rsid w:val="4E610DA4"/>
    <w:rsid w:val="4E814B23"/>
    <w:rsid w:val="4EA70D4F"/>
    <w:rsid w:val="4F005664"/>
    <w:rsid w:val="50175EE1"/>
    <w:rsid w:val="50437C79"/>
    <w:rsid w:val="52A50E7E"/>
    <w:rsid w:val="5412330C"/>
    <w:rsid w:val="54BC351D"/>
    <w:rsid w:val="55346759"/>
    <w:rsid w:val="55697A67"/>
    <w:rsid w:val="55C81178"/>
    <w:rsid w:val="56375162"/>
    <w:rsid w:val="57890B38"/>
    <w:rsid w:val="57CE4182"/>
    <w:rsid w:val="58EC5AAA"/>
    <w:rsid w:val="58FC1CF7"/>
    <w:rsid w:val="5AB70B1C"/>
    <w:rsid w:val="5AE76BBD"/>
    <w:rsid w:val="5B95211B"/>
    <w:rsid w:val="5CDC2753"/>
    <w:rsid w:val="5D5E3DC9"/>
    <w:rsid w:val="5DA738E9"/>
    <w:rsid w:val="5F1A313C"/>
    <w:rsid w:val="5F1D1DDA"/>
    <w:rsid w:val="5FAC076E"/>
    <w:rsid w:val="5FC42D7A"/>
    <w:rsid w:val="611658CA"/>
    <w:rsid w:val="61B94672"/>
    <w:rsid w:val="61C57F31"/>
    <w:rsid w:val="61F948E3"/>
    <w:rsid w:val="62EF2A3B"/>
    <w:rsid w:val="6300422E"/>
    <w:rsid w:val="630F7C96"/>
    <w:rsid w:val="63EE4995"/>
    <w:rsid w:val="65035473"/>
    <w:rsid w:val="65A501DF"/>
    <w:rsid w:val="662743C2"/>
    <w:rsid w:val="66B927F1"/>
    <w:rsid w:val="66C87F1B"/>
    <w:rsid w:val="6736098D"/>
    <w:rsid w:val="676B1230"/>
    <w:rsid w:val="67735D70"/>
    <w:rsid w:val="677A1E2C"/>
    <w:rsid w:val="67A74BA6"/>
    <w:rsid w:val="69465C93"/>
    <w:rsid w:val="6984407E"/>
    <w:rsid w:val="69955D14"/>
    <w:rsid w:val="6BBC5002"/>
    <w:rsid w:val="6BF90764"/>
    <w:rsid w:val="6C023B4D"/>
    <w:rsid w:val="6D066739"/>
    <w:rsid w:val="6D8F78A1"/>
    <w:rsid w:val="6E270E14"/>
    <w:rsid w:val="6FD27CC1"/>
    <w:rsid w:val="727D4D4D"/>
    <w:rsid w:val="737D6F9E"/>
    <w:rsid w:val="749E38AC"/>
    <w:rsid w:val="77F60E6F"/>
    <w:rsid w:val="798347A0"/>
    <w:rsid w:val="79DC7CD7"/>
    <w:rsid w:val="7A7F0BD5"/>
    <w:rsid w:val="7ACC4140"/>
    <w:rsid w:val="7BA51112"/>
    <w:rsid w:val="7BFE6DDE"/>
    <w:rsid w:val="7C5B0BDE"/>
    <w:rsid w:val="7CAA04AC"/>
    <w:rsid w:val="7CC854A4"/>
    <w:rsid w:val="7D18448D"/>
    <w:rsid w:val="7D1E478A"/>
    <w:rsid w:val="7DAF2EB2"/>
    <w:rsid w:val="7F4D0673"/>
    <w:rsid w:val="7FA76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qFormat/>
    <w:uiPriority w:val="99"/>
    <w:pPr>
      <w:jc w:val="left"/>
    </w:pPr>
    <w:rPr>
      <w:bCs/>
      <w:spacing w:val="10"/>
      <w:kern w:val="0"/>
      <w:sz w:val="24"/>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kern w:val="0"/>
      <w:sz w:val="2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cp:lastPrinted>2026-02-14T01:49:00Z</cp:lastPrinted>
  <dcterms:modified xsi:type="dcterms:W3CDTF">2026-03-23T03:27:55Z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